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E355F" w14:textId="50721DBB" w:rsidR="00E75847" w:rsidRDefault="00E75847">
      <w:pPr>
        <w:rPr>
          <w:b/>
          <w:bCs/>
          <w:sz w:val="24"/>
          <w:szCs w:val="24"/>
        </w:rPr>
      </w:pPr>
      <w:r>
        <w:rPr>
          <w:noProof/>
        </w:rPr>
        <w:drawing>
          <wp:inline distT="0" distB="0" distL="0" distR="0" wp14:anchorId="07B44D15" wp14:editId="2AFDCA50">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0"/>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44EB6CD2" w14:textId="77777777" w:rsidR="00E75847" w:rsidRDefault="00E75847">
      <w:pPr>
        <w:rPr>
          <w:b/>
          <w:bCs/>
          <w:sz w:val="24"/>
          <w:szCs w:val="24"/>
        </w:rPr>
      </w:pPr>
      <w:bookmarkStart w:id="0" w:name="_GoBack"/>
      <w:bookmarkEnd w:id="0"/>
    </w:p>
    <w:p w14:paraId="7BC88297" w14:textId="1287D90B" w:rsidR="004C60D5" w:rsidRPr="00651C1C" w:rsidRDefault="00651C1C">
      <w:pPr>
        <w:rPr>
          <w:b/>
          <w:bCs/>
          <w:sz w:val="24"/>
          <w:szCs w:val="24"/>
        </w:rPr>
      </w:pPr>
      <w:r>
        <w:rPr>
          <w:b/>
          <w:bCs/>
          <w:sz w:val="24"/>
          <w:szCs w:val="24"/>
        </w:rPr>
        <w:t xml:space="preserve">Fall Equine Disease Concerns </w:t>
      </w:r>
    </w:p>
    <w:p w14:paraId="7EF94FFC" w14:textId="573EA3FA" w:rsidR="00651C1C" w:rsidRDefault="00651C1C" w:rsidP="00B26AFF">
      <w:pPr>
        <w:spacing w:after="0" w:line="257" w:lineRule="auto"/>
        <w:rPr>
          <w:i/>
          <w:iCs/>
        </w:rPr>
      </w:pPr>
      <w:r w:rsidRPr="00651C1C">
        <w:rPr>
          <w:i/>
          <w:iCs/>
        </w:rPr>
        <w:t xml:space="preserve">Brought to you by Merck Animal Health </w:t>
      </w:r>
    </w:p>
    <w:p w14:paraId="0F6FC5B3" w14:textId="77777777" w:rsidR="00D36D8D" w:rsidRDefault="00D36D8D" w:rsidP="00D36D8D">
      <w:pPr>
        <w:autoSpaceDE w:val="0"/>
        <w:autoSpaceDN w:val="0"/>
        <w:adjustRightInd w:val="0"/>
        <w:spacing w:after="0" w:line="257" w:lineRule="auto"/>
        <w:rPr>
          <w:rFonts w:cs="UWMUXC+Lato-Regular"/>
        </w:rPr>
      </w:pPr>
    </w:p>
    <w:p w14:paraId="12BF320E" w14:textId="2F8210CD" w:rsidR="00651C1C" w:rsidRDefault="00651C1C" w:rsidP="00651C1C">
      <w:pPr>
        <w:autoSpaceDE w:val="0"/>
        <w:autoSpaceDN w:val="0"/>
        <w:adjustRightInd w:val="0"/>
        <w:rPr>
          <w:rFonts w:cs="UWMUXC+Lato-Regular"/>
        </w:rPr>
      </w:pPr>
      <w:r>
        <w:rPr>
          <w:rFonts w:cs="UWMUXC+Lato-Regular"/>
        </w:rPr>
        <w:t xml:space="preserve">As the crisp fall air arrives, </w:t>
      </w:r>
      <w:r w:rsidR="00D36D8D">
        <w:rPr>
          <w:rFonts w:cs="UWMUXC+Lato-Regular"/>
        </w:rPr>
        <w:t xml:space="preserve">equine </w:t>
      </w:r>
      <w:r>
        <w:rPr>
          <w:rFonts w:cs="UWMUXC+Lato-Regular"/>
        </w:rPr>
        <w:t>vaccination may not</w:t>
      </w:r>
      <w:r w:rsidR="00842BBA">
        <w:rPr>
          <w:rFonts w:cs="UWMUXC+Lato-Regular"/>
        </w:rPr>
        <w:t xml:space="preserve"> be</w:t>
      </w:r>
      <w:r>
        <w:rPr>
          <w:rFonts w:cs="UWMUXC+Lato-Regular"/>
        </w:rPr>
        <w:t xml:space="preserve"> </w:t>
      </w:r>
      <w:r w:rsidR="00842BBA" w:rsidRPr="00842BBA">
        <w:rPr>
          <w:rFonts w:cs="UWMUXC+Lato-Regular"/>
        </w:rPr>
        <w:t>at the top of everyone's mind</w:t>
      </w:r>
      <w:r>
        <w:rPr>
          <w:rFonts w:cs="UWMUXC+Lato-Regular"/>
        </w:rPr>
        <w:t xml:space="preserve">. However, </w:t>
      </w:r>
      <w:r w:rsidR="00D36D8D">
        <w:rPr>
          <w:rFonts w:cs="UWMUXC+Lato-Regular"/>
        </w:rPr>
        <w:t>p</w:t>
      </w:r>
      <w:r>
        <w:rPr>
          <w:rFonts w:cs="UWMUXC+Lato-Regular"/>
        </w:rPr>
        <w:t xml:space="preserve">articularly for horses traveling and in contact with many different horses and environments, booster vaccinations may be warranted to help prevent highly contagious diseases, such as equine influenza virus (EIV) and equine herpesvirus (EHV). In addition, vector-borne diseases such as eastern/western equine encephalomyelitis (EEE/WEE) and West Nile virus (WNV) rear their ugly heads most often in the late summer and fall, when mosquito populations peak. </w:t>
      </w:r>
    </w:p>
    <w:p w14:paraId="51CFAF2C" w14:textId="6E5E9429" w:rsidR="0024645B" w:rsidRDefault="00651C1C" w:rsidP="0024645B">
      <w:pPr>
        <w:autoSpaceDE w:val="0"/>
        <w:autoSpaceDN w:val="0"/>
        <w:adjustRightInd w:val="0"/>
        <w:rPr>
          <w:rFonts w:cs="UWMUXC+Lato-Regular"/>
        </w:rPr>
      </w:pPr>
      <w:r>
        <w:rPr>
          <w:rFonts w:cs="UWMUXC+Lato-Regular"/>
        </w:rPr>
        <w:t xml:space="preserve">There are also regional disease considerations, as some parts of the country experience extended warm weather seasons, which can lead to spikes in certain infectious diseases in the late summer and fall months. </w:t>
      </w:r>
      <w:r w:rsidR="00D36D8D">
        <w:rPr>
          <w:rFonts w:cs="UWMUXC+Lato-Regular"/>
        </w:rPr>
        <w:t>For</w:t>
      </w:r>
      <w:r>
        <w:rPr>
          <w:rFonts w:cs="UWMUXC+Lato-Regular"/>
        </w:rPr>
        <w:t xml:space="preserve"> horses residing in or traveling to areas where disease is endemic, a booster vaccination may be recommended.</w:t>
      </w:r>
      <w:r w:rsidR="00B26AFF">
        <w:rPr>
          <w:rFonts w:cs="UWMUXC+Lato-Regular"/>
        </w:rPr>
        <w:t xml:space="preserve"> </w:t>
      </w:r>
      <w:r w:rsidR="0024645B">
        <w:rPr>
          <w:rFonts w:cs="UWMUXC+Lato-Regular"/>
        </w:rPr>
        <w:t>The Equine Disease Communication Center (</w:t>
      </w:r>
      <w:hyperlink r:id="rId11" w:history="1">
        <w:r w:rsidR="0024645B">
          <w:rPr>
            <w:rStyle w:val="Hyperlink"/>
            <w:rFonts w:cs="UWMUXC+Lato-Regular"/>
          </w:rPr>
          <w:t>www.equinediseasecc.org</w:t>
        </w:r>
      </w:hyperlink>
      <w:r w:rsidR="0024645B">
        <w:rPr>
          <w:rFonts w:cs="UWMUXC+Lato-Regular"/>
        </w:rPr>
        <w:t xml:space="preserve">) is a great resource to help monitor and track infectious disease reports throughout the country. </w:t>
      </w:r>
    </w:p>
    <w:p w14:paraId="7584D7B6" w14:textId="77777777" w:rsidR="00150DFF" w:rsidRDefault="0024645B" w:rsidP="00B26AFF">
      <w:pPr>
        <w:autoSpaceDE w:val="0"/>
        <w:autoSpaceDN w:val="0"/>
        <w:adjustRightInd w:val="0"/>
      </w:pPr>
      <w:r>
        <w:t xml:space="preserve">Every horse is different. A veterinary consultation is important to determine the unique vaccination needs of </w:t>
      </w:r>
      <w:r w:rsidR="00B26AFF">
        <w:t>each</w:t>
      </w:r>
      <w:r>
        <w:t xml:space="preserve"> horse. Considerations include the horse’s age, environment, use, risk of exposure to disease, as well as geographic location the horse lives in or may travel to. </w:t>
      </w:r>
      <w:r w:rsidR="00B26AFF">
        <w:t xml:space="preserve">For more information, visit the American Association of Equine Practitioners (AAEP) vaccination guidelines at </w:t>
      </w:r>
      <w:hyperlink r:id="rId12" w:history="1">
        <w:r w:rsidR="00B26AFF" w:rsidRPr="00717032">
          <w:rPr>
            <w:rStyle w:val="Hyperlink"/>
          </w:rPr>
          <w:t>www.aaep.org/guidelines</w:t>
        </w:r>
      </w:hyperlink>
      <w:r w:rsidR="009D6C7A">
        <w:rPr>
          <w:rStyle w:val="Hyperlink"/>
        </w:rPr>
        <w:t>.</w:t>
      </w:r>
      <w:r w:rsidR="00B26AFF">
        <w:t xml:space="preserve"> </w:t>
      </w:r>
    </w:p>
    <w:p w14:paraId="27CB8BF5" w14:textId="411FA189" w:rsidR="009D6C7A" w:rsidRDefault="009D6C7A" w:rsidP="00B26AFF">
      <w:pPr>
        <w:autoSpaceDE w:val="0"/>
        <w:autoSpaceDN w:val="0"/>
        <w:adjustRightInd w:val="0"/>
      </w:pPr>
      <w:r>
        <w:t>For more information on the PRESTIGE</w:t>
      </w:r>
      <w:r>
        <w:rPr>
          <w:rFonts w:cstheme="minorHAnsi"/>
        </w:rPr>
        <w:t>®</w:t>
      </w:r>
      <w:r>
        <w:t xml:space="preserve"> line of vaccines from Merck Animal Health, visit </w:t>
      </w:r>
      <w:hyperlink r:id="rId13" w:history="1">
        <w:r w:rsidRPr="00717032">
          <w:rPr>
            <w:rStyle w:val="Hyperlink"/>
          </w:rPr>
          <w:t>www.prestigevaccines.com</w:t>
        </w:r>
      </w:hyperlink>
      <w:r>
        <w:t xml:space="preserve">, or contact your sales representative.  </w:t>
      </w:r>
    </w:p>
    <w:p w14:paraId="050D8242" w14:textId="09795D94" w:rsidR="00B26AFF" w:rsidRDefault="00B26AFF" w:rsidP="00B26AFF">
      <w:pPr>
        <w:autoSpaceDE w:val="0"/>
        <w:autoSpaceDN w:val="0"/>
        <w:adjustRightInd w:val="0"/>
      </w:pPr>
    </w:p>
    <w:p w14:paraId="12106B13" w14:textId="77777777" w:rsidR="00B26AFF" w:rsidRDefault="00B26AFF" w:rsidP="00B26AFF">
      <w:pPr>
        <w:spacing w:line="480" w:lineRule="auto"/>
        <w:rPr>
          <w:sz w:val="18"/>
          <w:szCs w:val="18"/>
        </w:rPr>
      </w:pPr>
      <w:r>
        <w:rPr>
          <w:sz w:val="18"/>
          <w:szCs w:val="18"/>
        </w:rPr>
        <w:t>Copyright © 2019 Intervet Inc., d/b/a Merck Animal Health, a subsidiary of Merck &amp; Co., Inc.</w:t>
      </w:r>
    </w:p>
    <w:p w14:paraId="3DF2C28D" w14:textId="77777777" w:rsidR="00B26AFF" w:rsidRPr="00B26AFF" w:rsidRDefault="00B26AFF" w:rsidP="00B26AFF">
      <w:pPr>
        <w:autoSpaceDE w:val="0"/>
        <w:autoSpaceDN w:val="0"/>
        <w:adjustRightInd w:val="0"/>
      </w:pPr>
    </w:p>
    <w:sectPr w:rsidR="00B26AFF" w:rsidRPr="00B26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EBE6" w14:textId="77777777" w:rsidR="00842BBA" w:rsidRDefault="00842BBA" w:rsidP="00842BBA">
      <w:pPr>
        <w:spacing w:after="0" w:line="240" w:lineRule="auto"/>
      </w:pPr>
      <w:r>
        <w:separator/>
      </w:r>
    </w:p>
  </w:endnote>
  <w:endnote w:type="continuationSeparator" w:id="0">
    <w:p w14:paraId="05FDBB88" w14:textId="77777777" w:rsidR="00842BBA" w:rsidRDefault="00842BBA" w:rsidP="0084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WMUXC+Lat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C987" w14:textId="77777777" w:rsidR="00842BBA" w:rsidRDefault="00842BBA" w:rsidP="00842BBA">
      <w:pPr>
        <w:spacing w:after="0" w:line="240" w:lineRule="auto"/>
      </w:pPr>
      <w:r>
        <w:separator/>
      </w:r>
    </w:p>
  </w:footnote>
  <w:footnote w:type="continuationSeparator" w:id="0">
    <w:p w14:paraId="09BCF10A" w14:textId="77777777" w:rsidR="00842BBA" w:rsidRDefault="00842BBA" w:rsidP="00842B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D5"/>
    <w:rsid w:val="000915A5"/>
    <w:rsid w:val="00150DFF"/>
    <w:rsid w:val="0024645B"/>
    <w:rsid w:val="004C60D5"/>
    <w:rsid w:val="004D584A"/>
    <w:rsid w:val="005B4550"/>
    <w:rsid w:val="00651C1C"/>
    <w:rsid w:val="00842BBA"/>
    <w:rsid w:val="009D6C7A"/>
    <w:rsid w:val="00B26AFF"/>
    <w:rsid w:val="00B53AB1"/>
    <w:rsid w:val="00D36D8D"/>
    <w:rsid w:val="00E7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D6091"/>
  <w15:chartTrackingRefBased/>
  <w15:docId w15:val="{179C5DA4-C7A2-4365-9EB0-CE97F4D8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0D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C1C"/>
    <w:rPr>
      <w:color w:val="0000FF"/>
      <w:u w:val="single"/>
    </w:rPr>
  </w:style>
  <w:style w:type="character" w:styleId="UnresolvedMention">
    <w:name w:val="Unresolved Mention"/>
    <w:basedOn w:val="DefaultParagraphFont"/>
    <w:uiPriority w:val="99"/>
    <w:semiHidden/>
    <w:unhideWhenUsed/>
    <w:rsid w:val="0024645B"/>
    <w:rPr>
      <w:color w:val="605E5C"/>
      <w:shd w:val="clear" w:color="auto" w:fill="E1DFDD"/>
    </w:rPr>
  </w:style>
  <w:style w:type="character" w:styleId="CommentReference">
    <w:name w:val="annotation reference"/>
    <w:basedOn w:val="DefaultParagraphFont"/>
    <w:uiPriority w:val="99"/>
    <w:semiHidden/>
    <w:unhideWhenUsed/>
    <w:rsid w:val="0024645B"/>
    <w:rPr>
      <w:sz w:val="16"/>
      <w:szCs w:val="16"/>
    </w:rPr>
  </w:style>
  <w:style w:type="paragraph" w:styleId="CommentText">
    <w:name w:val="annotation text"/>
    <w:basedOn w:val="Normal"/>
    <w:link w:val="CommentTextChar"/>
    <w:uiPriority w:val="99"/>
    <w:semiHidden/>
    <w:unhideWhenUsed/>
    <w:rsid w:val="0024645B"/>
    <w:pPr>
      <w:spacing w:line="240" w:lineRule="auto"/>
    </w:pPr>
    <w:rPr>
      <w:sz w:val="20"/>
      <w:szCs w:val="20"/>
    </w:rPr>
  </w:style>
  <w:style w:type="character" w:customStyle="1" w:styleId="CommentTextChar">
    <w:name w:val="Comment Text Char"/>
    <w:basedOn w:val="DefaultParagraphFont"/>
    <w:link w:val="CommentText"/>
    <w:uiPriority w:val="99"/>
    <w:semiHidden/>
    <w:rsid w:val="0024645B"/>
    <w:rPr>
      <w:sz w:val="20"/>
      <w:szCs w:val="20"/>
    </w:rPr>
  </w:style>
  <w:style w:type="paragraph" w:styleId="CommentSubject">
    <w:name w:val="annotation subject"/>
    <w:basedOn w:val="CommentText"/>
    <w:next w:val="CommentText"/>
    <w:link w:val="CommentSubjectChar"/>
    <w:uiPriority w:val="99"/>
    <w:semiHidden/>
    <w:unhideWhenUsed/>
    <w:rsid w:val="0024645B"/>
    <w:rPr>
      <w:b/>
      <w:bCs/>
    </w:rPr>
  </w:style>
  <w:style w:type="character" w:customStyle="1" w:styleId="CommentSubjectChar">
    <w:name w:val="Comment Subject Char"/>
    <w:basedOn w:val="CommentTextChar"/>
    <w:link w:val="CommentSubject"/>
    <w:uiPriority w:val="99"/>
    <w:semiHidden/>
    <w:rsid w:val="0024645B"/>
    <w:rPr>
      <w:b/>
      <w:bCs/>
      <w:sz w:val="20"/>
      <w:szCs w:val="20"/>
    </w:rPr>
  </w:style>
  <w:style w:type="paragraph" w:styleId="BalloonText">
    <w:name w:val="Balloon Text"/>
    <w:basedOn w:val="Normal"/>
    <w:link w:val="BalloonTextChar"/>
    <w:uiPriority w:val="99"/>
    <w:semiHidden/>
    <w:unhideWhenUsed/>
    <w:rsid w:val="00246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45B"/>
    <w:rPr>
      <w:rFonts w:ascii="Segoe UI" w:hAnsi="Segoe UI" w:cs="Segoe UI"/>
      <w:sz w:val="18"/>
      <w:szCs w:val="18"/>
    </w:rPr>
  </w:style>
  <w:style w:type="paragraph" w:styleId="Header">
    <w:name w:val="header"/>
    <w:basedOn w:val="Normal"/>
    <w:link w:val="HeaderChar"/>
    <w:uiPriority w:val="99"/>
    <w:unhideWhenUsed/>
    <w:rsid w:val="0084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BBA"/>
  </w:style>
  <w:style w:type="paragraph" w:styleId="Footer">
    <w:name w:val="footer"/>
    <w:basedOn w:val="Normal"/>
    <w:link w:val="FooterChar"/>
    <w:uiPriority w:val="99"/>
    <w:unhideWhenUsed/>
    <w:rsid w:val="0084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60932">
      <w:bodyDiv w:val="1"/>
      <w:marLeft w:val="0"/>
      <w:marRight w:val="0"/>
      <w:marTop w:val="0"/>
      <w:marBottom w:val="0"/>
      <w:divBdr>
        <w:top w:val="none" w:sz="0" w:space="0" w:color="auto"/>
        <w:left w:val="none" w:sz="0" w:space="0" w:color="auto"/>
        <w:bottom w:val="none" w:sz="0" w:space="0" w:color="auto"/>
        <w:right w:val="none" w:sz="0" w:space="0" w:color="auto"/>
      </w:divBdr>
      <w:divsChild>
        <w:div w:id="1474642805">
          <w:marLeft w:val="0"/>
          <w:marRight w:val="0"/>
          <w:marTop w:val="0"/>
          <w:marBottom w:val="160"/>
          <w:divBdr>
            <w:top w:val="none" w:sz="0" w:space="0" w:color="auto"/>
            <w:left w:val="none" w:sz="0" w:space="0" w:color="auto"/>
            <w:bottom w:val="none" w:sz="0" w:space="0" w:color="auto"/>
            <w:right w:val="none" w:sz="0" w:space="0" w:color="auto"/>
          </w:divBdr>
        </w:div>
      </w:divsChild>
    </w:div>
    <w:div w:id="1485311958">
      <w:bodyDiv w:val="1"/>
      <w:marLeft w:val="0"/>
      <w:marRight w:val="0"/>
      <w:marTop w:val="0"/>
      <w:marBottom w:val="0"/>
      <w:divBdr>
        <w:top w:val="none" w:sz="0" w:space="0" w:color="auto"/>
        <w:left w:val="none" w:sz="0" w:space="0" w:color="auto"/>
        <w:bottom w:val="none" w:sz="0" w:space="0" w:color="auto"/>
        <w:right w:val="none" w:sz="0" w:space="0" w:color="auto"/>
      </w:divBdr>
    </w:div>
    <w:div w:id="16307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stigevacci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aep.org/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inediseasecc.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4079E7A2-719C-4C06-AD0C-6B4C99E39A4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fa2a72-512d-4625-8080-7f9539ec5156"/>
    <ds:schemaRef ds:uri="524b6dc0-4d19-4667-bcf4-3c5af9116b8e"/>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05AEAED-8207-494F-AF8D-999372FFAFB0}">
  <ds:schemaRefs>
    <ds:schemaRef ds:uri="http://schemas.microsoft.com/sharepoint/v3/contenttype/forms"/>
  </ds:schemaRefs>
</ds:datastoreItem>
</file>

<file path=customXml/itemProps3.xml><?xml version="1.0" encoding="utf-8"?>
<ds:datastoreItem xmlns:ds="http://schemas.openxmlformats.org/officeDocument/2006/customXml" ds:itemID="{46889DED-7577-4FB5-95A8-99ACD917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B6E25-CA6E-46D1-95FD-4E7FD63261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Wright</dc:creator>
  <cp:keywords/>
  <dc:description/>
  <cp:lastModifiedBy>Slawson, Jamie A.</cp:lastModifiedBy>
  <cp:revision>2</cp:revision>
  <dcterms:created xsi:type="dcterms:W3CDTF">2020-02-13T12:04:00Z</dcterms:created>
  <dcterms:modified xsi:type="dcterms:W3CDTF">2020-02-13T12:04:00Z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52d5eb10-8519-4d7f-897e-12c4e7ac5c9e</vt:lpwstr>
  </property>
  <property fmtid="{D5CDD505-2E9C-101B-9397-08002B2CF9AE}" pid="3" name="bjSaver">
    <vt:lpwstr>LP/svClS/5KYt8+x5Git2ALaHEXEKIF3</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ContentTypeId">
    <vt:lpwstr>0x010100F6DCFBC9795A38429A3B00FE6DBC33A8</vt:lpwstr>
  </property>
</Properties>
</file>